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Navadensplet"/>
        <w:rPr>
          <w:rFonts w:ascii="Arial" w:hAnsi="Arial" w:cs="Arial"/>
          <w:color w:val="000000"/>
        </w:rPr>
      </w:pPr>
      <w:r>
        <w:rPr>
          <w:rFonts w:ascii="Arial" w:hAnsi="Arial" w:cs="Arial"/>
          <w:color w:val="000000"/>
        </w:rPr>
        <w:t xml:space="preserve">                                                                                                                  PREDLOG</w:t>
      </w:r>
    </w:p>
    <w:p>
      <w:pPr>
        <w:pStyle w:val="Navadensplet"/>
        <w:spacing w:before="0" w:beforeAutospacing="0" w:after="0" w:afterAutospacing="0"/>
        <w:jc w:val="center"/>
        <w:rPr>
          <w:rFonts w:ascii="Arial" w:hAnsi="Arial" w:cs="Arial"/>
          <w:b/>
          <w:color w:val="000000"/>
        </w:rPr>
      </w:pPr>
      <w:r>
        <w:rPr>
          <w:rFonts w:ascii="Arial" w:hAnsi="Arial" w:cs="Arial"/>
          <w:b/>
          <w:color w:val="000000"/>
        </w:rPr>
        <w:t>Odlok o spremembah in dopolnitvah odloka o pokopališkem redu v Občini Vitanje - predlog</w:t>
      </w:r>
    </w:p>
    <w:p>
      <w:pPr>
        <w:pStyle w:val="Navadensplet"/>
        <w:spacing w:before="0" w:beforeAutospacing="0" w:after="0" w:afterAutospacing="0"/>
        <w:rPr>
          <w:rFonts w:ascii="Arial" w:hAnsi="Arial" w:cs="Arial"/>
          <w:b/>
          <w:color w:val="000000"/>
        </w:rPr>
      </w:pPr>
    </w:p>
    <w:p>
      <w:pPr>
        <w:pStyle w:val="Navadensplet"/>
        <w:spacing w:before="0" w:beforeAutospacing="0" w:after="0" w:afterAutospacing="0"/>
        <w:rPr>
          <w:rFonts w:ascii="Arial" w:hAnsi="Arial" w:cs="Arial"/>
          <w:b/>
          <w:color w:val="000000"/>
        </w:rPr>
      </w:pPr>
    </w:p>
    <w:p>
      <w:pPr>
        <w:pStyle w:val="Navadensplet"/>
        <w:spacing w:before="0" w:beforeAutospacing="0" w:after="0" w:afterAutospacing="0"/>
        <w:rPr>
          <w:rFonts w:ascii="Arial" w:hAnsi="Arial" w:cs="Arial"/>
          <w:color w:val="000000"/>
        </w:rPr>
      </w:pPr>
    </w:p>
    <w:p>
      <w:pPr>
        <w:pStyle w:val="Navadensplet"/>
        <w:spacing w:before="0" w:beforeAutospacing="0" w:after="0" w:afterAutospacing="0"/>
        <w:rPr>
          <w:rFonts w:ascii="Arial" w:hAnsi="Arial" w:cs="Arial"/>
          <w:color w:val="000000"/>
        </w:rPr>
      </w:pPr>
      <w:r>
        <w:rPr>
          <w:rFonts w:ascii="Arial" w:hAnsi="Arial" w:cs="Arial"/>
          <w:color w:val="000000"/>
        </w:rPr>
        <w:t xml:space="preserve">Pri 14.členu Odloka o pokopališkem redu v Občini Vitanje (Uradno glasilo slovenskih občin, št. 50/2022) se doda 4 odstavek, ki se glasi: </w:t>
      </w:r>
    </w:p>
    <w:p>
      <w:pPr>
        <w:pStyle w:val="Navadensplet"/>
        <w:spacing w:before="0" w:beforeAutospacing="0" w:after="0" w:afterAutospacing="0"/>
        <w:rPr>
          <w:rFonts w:ascii="Arial" w:hAnsi="Arial" w:cs="Arial"/>
          <w:b/>
          <w:color w:val="000000"/>
        </w:rPr>
      </w:pPr>
      <w:r>
        <w:rPr>
          <w:rFonts w:ascii="Arial" w:hAnsi="Arial" w:cs="Arial"/>
          <w:b/>
          <w:color w:val="000000"/>
          <w:shd w:val="clear" w:color="auto" w:fill="FFFFFF"/>
        </w:rPr>
        <w:t>»(4) Ureditev prostora za raztros pepela na pokopališču, način izvajanja raztrosa ter obračun storitev povezanih z raztrosom se uredi s posebnim pravilnikom.«</w:t>
      </w:r>
    </w:p>
    <w:p>
      <w:pPr>
        <w:pStyle w:val="Navadensplet"/>
        <w:spacing w:before="0" w:beforeAutospacing="0" w:after="0" w:afterAutospacing="0"/>
        <w:rPr>
          <w:rFonts w:ascii="Arial" w:hAnsi="Arial" w:cs="Arial"/>
          <w:color w:val="000000"/>
        </w:rPr>
      </w:pPr>
    </w:p>
    <w:p>
      <w:pPr>
        <w:pStyle w:val="Navadensplet"/>
        <w:spacing w:before="0" w:beforeAutospacing="0" w:after="0" w:afterAutospacing="0"/>
        <w:rPr>
          <w:rFonts w:ascii="Arial" w:hAnsi="Arial" w:cs="Arial"/>
          <w:color w:val="000000"/>
        </w:rPr>
      </w:pPr>
      <w:r>
        <w:rPr>
          <w:rFonts w:ascii="Arial" w:hAnsi="Arial" w:cs="Arial"/>
          <w:color w:val="000000"/>
        </w:rPr>
        <w:t xml:space="preserve">Spremeni se 16. člen Odloka o pokopališkem redu v Občini Vitanje (Uradno glasilo slovenskih občin, št. 50/2022), ki se po novem glasi: </w:t>
      </w:r>
    </w:p>
    <w:p>
      <w:pPr>
        <w:pStyle w:val="Navadensplet"/>
        <w:spacing w:before="0" w:beforeAutospacing="0" w:after="0" w:afterAutospacing="0"/>
        <w:rPr>
          <w:rFonts w:ascii="Arial" w:hAnsi="Arial" w:cs="Arial"/>
          <w:b/>
          <w:color w:val="000000"/>
        </w:rPr>
      </w:pPr>
      <w:r>
        <w:rPr>
          <w:rFonts w:ascii="Arial" w:hAnsi="Arial" w:cs="Arial"/>
          <w:b/>
          <w:color w:val="000000"/>
        </w:rPr>
        <w:t>»16. člen</w:t>
      </w:r>
    </w:p>
    <w:p>
      <w:pPr>
        <w:pStyle w:val="Navadensplet"/>
        <w:spacing w:before="0" w:beforeAutospacing="0" w:after="0" w:afterAutospacing="0"/>
        <w:rPr>
          <w:rFonts w:ascii="Arial" w:hAnsi="Arial" w:cs="Arial"/>
          <w:b/>
          <w:color w:val="000000"/>
        </w:rPr>
      </w:pPr>
      <w:r>
        <w:rPr>
          <w:rFonts w:ascii="Arial" w:hAnsi="Arial" w:cs="Arial"/>
          <w:b/>
          <w:color w:val="000000"/>
        </w:rPr>
        <w:t>(način pokopa, če je plačnik občina)</w:t>
      </w:r>
    </w:p>
    <w:p>
      <w:pPr>
        <w:pStyle w:val="Navadensplet"/>
        <w:spacing w:before="0" w:beforeAutospacing="0" w:after="0" w:afterAutospacing="0"/>
        <w:rPr>
          <w:rFonts w:ascii="Arial" w:hAnsi="Arial" w:cs="Arial"/>
          <w:b/>
          <w:color w:val="000000"/>
        </w:rPr>
      </w:pPr>
      <w:r>
        <w:rPr>
          <w:rFonts w:ascii="Arial" w:hAnsi="Arial" w:cs="Arial"/>
          <w:b/>
          <w:color w:val="000000"/>
        </w:rPr>
        <w:t>Če je plačnik pokopa občina, se opravi pokop z žaro, kjer se upepeljeni ostanki pokojnika shranijo v žaro in pokopljejo v skupni grob ali se pokop opravi z raztrosom pepela, ki se opravi na posebej določenem prostoru na pokopališču.«</w:t>
      </w:r>
      <w:bookmarkStart w:id="0" w:name="_GoBack"/>
      <w:bookmarkEnd w:id="0"/>
      <w:r>
        <w:rPr>
          <w:rFonts w:ascii="Arial" w:hAnsi="Arial" w:cs="Arial"/>
          <w:b/>
          <w:color w:val="000000"/>
        </w:rPr>
        <w:t xml:space="preserve"> </w:t>
      </w:r>
    </w:p>
    <w:p>
      <w:pPr>
        <w:pStyle w:val="Navadensplet"/>
        <w:spacing w:before="0" w:beforeAutospacing="0" w:after="0" w:afterAutospacing="0"/>
        <w:rPr>
          <w:rFonts w:ascii="Arial" w:hAnsi="Arial" w:cs="Arial"/>
          <w:b/>
          <w:color w:val="000000"/>
        </w:rPr>
      </w:pPr>
    </w:p>
    <w:p>
      <w:pPr>
        <w:pStyle w:val="Navadensplet"/>
        <w:spacing w:before="0" w:beforeAutospacing="0" w:after="0" w:afterAutospacing="0"/>
        <w:rPr>
          <w:rFonts w:ascii="Arial" w:hAnsi="Arial" w:cs="Arial"/>
          <w:b/>
          <w:color w:val="000000"/>
        </w:rPr>
      </w:pPr>
    </w:p>
    <w:p>
      <w:pPr>
        <w:pStyle w:val="Navadensplet"/>
        <w:spacing w:before="0" w:beforeAutospacing="0" w:after="0" w:afterAutospacing="0"/>
        <w:rPr>
          <w:rFonts w:ascii="Arial" w:hAnsi="Arial" w:cs="Arial"/>
          <w:b/>
          <w:color w:val="000000"/>
        </w:rPr>
      </w:pPr>
      <w:r>
        <w:rPr>
          <w:rFonts w:ascii="Arial" w:hAnsi="Arial" w:cs="Arial"/>
          <w:b/>
          <w:color w:val="000000"/>
        </w:rPr>
        <w:t>Obrazložitev:</w:t>
      </w:r>
    </w:p>
    <w:p>
      <w:pPr>
        <w:pStyle w:val="Navadensplet"/>
        <w:spacing w:before="0" w:beforeAutospacing="0" w:after="0" w:afterAutospacing="0"/>
        <w:jc w:val="both"/>
        <w:rPr>
          <w:rFonts w:ascii="Arial" w:hAnsi="Arial" w:cs="Arial"/>
          <w:color w:val="000000"/>
        </w:rPr>
      </w:pPr>
      <w:r>
        <w:rPr>
          <w:rFonts w:ascii="Arial" w:hAnsi="Arial" w:cs="Arial"/>
          <w:color w:val="000000"/>
        </w:rPr>
        <w:t>Besedilo je oblikovano na podlagi določila šeste alineje drugega odstavka 4. člena Zakona o pogrebni in pokopališki dejavnosti /</w:t>
      </w:r>
      <w:proofErr w:type="spellStart"/>
      <w:r>
        <w:rPr>
          <w:rFonts w:ascii="Arial" w:hAnsi="Arial" w:cs="Arial"/>
          <w:color w:val="000000"/>
        </w:rPr>
        <w:t>ZPPDej</w:t>
      </w:r>
      <w:proofErr w:type="spellEnd"/>
      <w:r>
        <w:rPr>
          <w:rFonts w:ascii="Arial" w:hAnsi="Arial" w:cs="Arial"/>
          <w:color w:val="000000"/>
        </w:rPr>
        <w:t xml:space="preserve">/, ki določa, da občina s pokopališkim redom predpiše način pokopa, če je plačnik občina. </w:t>
      </w:r>
    </w:p>
    <w:p>
      <w:pPr>
        <w:pStyle w:val="Navadensplet"/>
        <w:spacing w:before="0" w:beforeAutospacing="0" w:after="0" w:afterAutospacing="0"/>
        <w:jc w:val="both"/>
        <w:rPr>
          <w:rFonts w:ascii="Arial" w:hAnsi="Arial" w:cs="Arial"/>
          <w:color w:val="000000"/>
        </w:rPr>
      </w:pPr>
      <w:r>
        <w:rPr>
          <w:rFonts w:ascii="Arial" w:hAnsi="Arial" w:cs="Arial"/>
          <w:color w:val="000000"/>
        </w:rPr>
        <w:t>Vezano je tudi na določilo drugega odstavka 13. člena Zakona o pogrebni in pokopališki dejavnosti /</w:t>
      </w:r>
      <w:proofErr w:type="spellStart"/>
      <w:r>
        <w:rPr>
          <w:rFonts w:ascii="Arial" w:hAnsi="Arial" w:cs="Arial"/>
          <w:color w:val="000000"/>
        </w:rPr>
        <w:t>ZPPDej</w:t>
      </w:r>
      <w:proofErr w:type="spellEnd"/>
      <w:r>
        <w:rPr>
          <w:rFonts w:ascii="Arial" w:hAnsi="Arial" w:cs="Arial"/>
          <w:color w:val="000000"/>
        </w:rPr>
        <w:t xml:space="preserve">/, ki določa, da če ni naročnika pogreba, pokop prijavi občina, kjer je imel pokojnik zadnje stalno prebivališče. Kadar ni mogoče ugotoviti kraja zadnjega stalnega prebivališča, pokop prijavi občina, kjer je imel pokojnik zadnje začasno prebivališče. Če ni mogoče ugotoviti niti zadnjega začasnega prebivališča, prijavi pokop občina, v kateri je oseba umrla oziroma je bila najdena. </w:t>
      </w:r>
    </w:p>
    <w:p>
      <w:pPr>
        <w:pStyle w:val="Navadensplet"/>
        <w:spacing w:before="0" w:beforeAutospacing="0" w:after="0" w:afterAutospacing="0"/>
        <w:jc w:val="both"/>
        <w:rPr>
          <w:rFonts w:ascii="Arial" w:hAnsi="Arial" w:cs="Arial"/>
          <w:color w:val="000000"/>
        </w:rPr>
      </w:pPr>
      <w:r>
        <w:rPr>
          <w:rFonts w:ascii="Arial" w:hAnsi="Arial" w:cs="Arial"/>
          <w:color w:val="000000"/>
        </w:rPr>
        <w:t>Ob navedenem pa je potrebno upoštevati še določilo drugega odstavka 16. člena Zakona o pogrebni in pokopališki dejavnosti /</w:t>
      </w:r>
      <w:proofErr w:type="spellStart"/>
      <w:r>
        <w:rPr>
          <w:rFonts w:ascii="Arial" w:hAnsi="Arial" w:cs="Arial"/>
          <w:color w:val="000000"/>
        </w:rPr>
        <w:t>ZPPDej</w:t>
      </w:r>
      <w:proofErr w:type="spellEnd"/>
      <w:r>
        <w:rPr>
          <w:rFonts w:ascii="Arial" w:hAnsi="Arial" w:cs="Arial"/>
          <w:color w:val="000000"/>
        </w:rPr>
        <w:t>/, ki določa, da mora stroške pogreba poravnati občina, ki je prijavila pokop, če ni drugega naročnika pogreba.</w:t>
      </w:r>
    </w:p>
    <w:p>
      <w:pPr>
        <w:pStyle w:val="Navadensplet"/>
        <w:spacing w:before="0" w:beforeAutospacing="0" w:after="0" w:afterAutospacing="0"/>
        <w:jc w:val="both"/>
        <w:rPr>
          <w:rFonts w:ascii="Arial" w:hAnsi="Arial" w:cs="Arial"/>
          <w:color w:val="000000"/>
        </w:rPr>
      </w:pPr>
    </w:p>
    <w:p>
      <w:pPr>
        <w:pStyle w:val="Navadensplet"/>
        <w:spacing w:before="0" w:beforeAutospacing="0" w:after="0" w:afterAutospacing="0"/>
        <w:jc w:val="both"/>
        <w:rPr>
          <w:rFonts w:ascii="Arial" w:hAnsi="Arial" w:cs="Arial"/>
          <w:color w:val="000000"/>
        </w:rPr>
      </w:pPr>
      <w:r>
        <w:rPr>
          <w:rFonts w:ascii="Arial" w:hAnsi="Arial" w:cs="Arial"/>
          <w:color w:val="000000"/>
        </w:rPr>
        <w:t>Občina ugotavlja, da je strošek pokopa z žaro zelo visok, in da je zato raztros pepela za občino racionalnejša izbira in skladna s predlaganim Pravilnikom</w:t>
      </w:r>
      <w:r>
        <w:rPr>
          <w:rFonts w:ascii="Arial" w:hAnsi="Arial" w:cs="Arial"/>
        </w:rPr>
        <w:t xml:space="preserve"> </w:t>
      </w:r>
      <w:r>
        <w:rPr>
          <w:rFonts w:ascii="Arial" w:hAnsi="Arial" w:cs="Arial"/>
          <w:color w:val="000000"/>
        </w:rPr>
        <w:t>o pokopu na način z raztrosom pepela pokojnika na pokopališču Vitanje, (ki je predmet obravnave naslednje točke na občinskem svetu.)</w:t>
      </w:r>
    </w:p>
    <w:p>
      <w:pPr>
        <w:pStyle w:val="Navadensplet"/>
        <w:spacing w:before="0" w:beforeAutospacing="0" w:after="0" w:afterAutospacing="0"/>
        <w:rPr>
          <w:color w:val="000000"/>
          <w:sz w:val="27"/>
          <w:szCs w:val="27"/>
        </w:rPr>
      </w:pPr>
    </w:p>
    <w:p>
      <w:pPr>
        <w:pStyle w:val="Navadensplet"/>
        <w:spacing w:before="0" w:beforeAutospacing="0" w:after="0" w:afterAutospacing="0"/>
        <w:rPr>
          <w:color w:val="000000"/>
          <w:sz w:val="27"/>
          <w:szCs w:val="27"/>
        </w:rPr>
      </w:pPr>
    </w:p>
    <w:p>
      <w:pPr>
        <w:pStyle w:val="Navadensplet"/>
        <w:rPr>
          <w:color w:val="000000"/>
          <w:sz w:val="27"/>
          <w:szCs w:val="27"/>
        </w:rPr>
      </w:pPr>
    </w:p>
    <w:sectPr>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onotype Corsiva">
    <w:panose1 w:val="03010101010201010101"/>
    <w:charset w:val="EE"/>
    <w:family w:val="script"/>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2"/>
  <w:revisionView w:markup="0" w:comments="0" w:insDel="0" w:formatting="0"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3EE14A-D3AF-44C7-8BA7-4DDE78E27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sl-SI"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itanjan">
    <w:name w:val="Vitanjčan"/>
    <w:qFormat/>
    <w:pPr>
      <w:spacing w:line="340" w:lineRule="exact"/>
      <w:jc w:val="both"/>
    </w:pPr>
    <w:rPr>
      <w:rFonts w:ascii="Arial" w:hAnsi="Arial" w:cs="Arial"/>
      <w:bCs/>
      <w:sz w:val="24"/>
      <w:szCs w:val="24"/>
    </w:rPr>
  </w:style>
  <w:style w:type="paragraph" w:styleId="Naslovnaslovnika">
    <w:name w:val="envelope address"/>
    <w:basedOn w:val="Navaden"/>
    <w:pPr>
      <w:framePr w:w="7920" w:h="1980" w:hRule="exact" w:hSpace="141" w:wrap="auto" w:hAnchor="page" w:xAlign="center" w:yAlign="bottom"/>
      <w:ind w:left="2880"/>
    </w:pPr>
    <w:rPr>
      <w:rFonts w:ascii="Monotype Corsiva" w:eastAsia="Times New Roman" w:hAnsi="Monotype Corsiva" w:cs="Arial"/>
      <w:i/>
      <w:color w:val="003366"/>
      <w:sz w:val="32"/>
      <w:szCs w:val="32"/>
    </w:rPr>
  </w:style>
  <w:style w:type="paragraph" w:styleId="Navadensplet">
    <w:name w:val="Normal (Web)"/>
    <w:basedOn w:val="Navaden"/>
    <w:uiPriority w:val="99"/>
    <w:semiHidden/>
    <w:unhideWhenUsed/>
    <w:pPr>
      <w:spacing w:before="100" w:beforeAutospacing="1" w:after="100" w:afterAutospacing="1"/>
    </w:pPr>
    <w:rPr>
      <w:rFonts w:eastAsia="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310312">
      <w:bodyDiv w:val="1"/>
      <w:marLeft w:val="0"/>
      <w:marRight w:val="0"/>
      <w:marTop w:val="0"/>
      <w:marBottom w:val="0"/>
      <w:divBdr>
        <w:top w:val="none" w:sz="0" w:space="0" w:color="auto"/>
        <w:left w:val="none" w:sz="0" w:space="0" w:color="auto"/>
        <w:bottom w:val="none" w:sz="0" w:space="0" w:color="auto"/>
        <w:right w:val="none" w:sz="0" w:space="0" w:color="auto"/>
      </w:divBdr>
    </w:div>
    <w:div w:id="1238053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6b73612-1c69-4ac2-a2b8-0d44efe707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1296E364174E044956BF040F670E345" ma:contentTypeVersion="12" ma:contentTypeDescription="Ustvari nov dokument." ma:contentTypeScope="" ma:versionID="6447ec0bc085afdddaa35a8f4c862aa3">
  <xsd:schema xmlns:xsd="http://www.w3.org/2001/XMLSchema" xmlns:xs="http://www.w3.org/2001/XMLSchema" xmlns:p="http://schemas.microsoft.com/office/2006/metadata/properties" xmlns:ns3="26b73612-1c69-4ac2-a2b8-0d44efe707ff" targetNamespace="http://schemas.microsoft.com/office/2006/metadata/properties" ma:root="true" ma:fieldsID="62ca12f2e72dc2e6c2440b8e469de63f" ns3:_="">
    <xsd:import namespace="26b73612-1c69-4ac2-a2b8-0d44efe707ff"/>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b73612-1c69-4ac2-a2b8-0d44efe707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57FB82-381F-47C8-9546-163B3384E4BD}">
  <ds:schemaRefs>
    <ds:schemaRef ds:uri="http://schemas.microsoft.com/office/2006/metadata/properties"/>
    <ds:schemaRef ds:uri="http://schemas.microsoft.com/office/infopath/2007/PartnerControls"/>
    <ds:schemaRef ds:uri="26b73612-1c69-4ac2-a2b8-0d44efe707ff"/>
  </ds:schemaRefs>
</ds:datastoreItem>
</file>

<file path=customXml/itemProps2.xml><?xml version="1.0" encoding="utf-8"?>
<ds:datastoreItem xmlns:ds="http://schemas.openxmlformats.org/officeDocument/2006/customXml" ds:itemID="{5F12E4E6-12DE-4F46-8C32-E95135D50E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b73612-1c69-4ac2-a2b8-0d44efe707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625E34-3BBF-4C52-992F-733E77BA1A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Pages>
  <Words>327</Words>
  <Characters>1865</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Ivica Žerdoner</dc:creator>
  <cp:keywords/>
  <dc:description/>
  <cp:lastModifiedBy>Ivica Žerdoner</cp:lastModifiedBy>
  <cp:revision>11</cp:revision>
  <dcterms:created xsi:type="dcterms:W3CDTF">2024-11-26T09:28:00Z</dcterms:created>
  <dcterms:modified xsi:type="dcterms:W3CDTF">2026-06-03T12:33:00Z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0x01010081296E364174E044956BF040F670E345</vt:lpwstr>
  </property>
</Properties>
</file>